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9" w:rsidRPr="00FD0C99" w:rsidRDefault="00FD0C99" w:rsidP="00FD0C99">
      <w:pPr>
        <w:jc w:val="center"/>
        <w:rPr>
          <w:rFonts w:asciiTheme="majorHAnsi" w:hAnsiTheme="majorHAnsi"/>
          <w:b/>
          <w:bCs/>
          <w:sz w:val="48"/>
          <w:szCs w:val="48"/>
          <w:lang w:val="en-IN"/>
        </w:rPr>
      </w:pPr>
      <w:r w:rsidRPr="00FD0C99">
        <w:rPr>
          <w:rFonts w:asciiTheme="majorHAnsi" w:hAnsiTheme="majorHAnsi"/>
          <w:b/>
          <w:bCs/>
          <w:sz w:val="48"/>
          <w:szCs w:val="48"/>
          <w:lang w:val="en-IN"/>
        </w:rPr>
        <w:t>NOTICE</w:t>
      </w:r>
    </w:p>
    <w:p w:rsidR="002B66AA" w:rsidRPr="00FD0C99" w:rsidRDefault="00FD0C99" w:rsidP="00FD0C99">
      <w:pPr>
        <w:jc w:val="center"/>
        <w:rPr>
          <w:rFonts w:asciiTheme="majorHAnsi" w:hAnsiTheme="majorHAnsi"/>
          <w:b/>
          <w:bCs/>
          <w:sz w:val="32"/>
          <w:szCs w:val="32"/>
          <w:u w:val="single"/>
          <w:lang w:val="en-IN"/>
        </w:rPr>
      </w:pPr>
      <w:r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 xml:space="preserve">Introduction of </w:t>
      </w:r>
      <w:r w:rsidR="00DC5DF6" w:rsidRPr="00FD0C99"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>Re-Allocation</w:t>
      </w:r>
      <w:r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 xml:space="preserve"> of High Grade Bauxite to </w:t>
      </w:r>
      <w:r w:rsidR="00EF559F"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 xml:space="preserve">Bauxite </w:t>
      </w:r>
      <w:proofErr w:type="gramStart"/>
      <w:r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>Customer</w:t>
      </w:r>
      <w:r w:rsidR="00EF559F"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>s</w:t>
      </w:r>
      <w:r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 xml:space="preserve"> </w:t>
      </w:r>
      <w:r w:rsidR="00EF559F"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 xml:space="preserve"> based</w:t>
      </w:r>
      <w:proofErr w:type="gramEnd"/>
      <w:r w:rsidR="00EF559F">
        <w:rPr>
          <w:rFonts w:asciiTheme="majorHAnsi" w:hAnsiTheme="majorHAnsi"/>
          <w:b/>
          <w:bCs/>
          <w:sz w:val="32"/>
          <w:szCs w:val="32"/>
          <w:u w:val="single"/>
          <w:lang w:val="en-IN"/>
        </w:rPr>
        <w:t xml:space="preserve"> on booking performance</w:t>
      </w:r>
    </w:p>
    <w:p w:rsidR="00CA7E87" w:rsidRDefault="00FD0C99" w:rsidP="005050A3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High Grade allocation is being done on proportionate bases of total demand and availability till now</w:t>
      </w:r>
    </w:p>
    <w:p w:rsidR="00CA7E87" w:rsidRDefault="00CA7E87" w:rsidP="005050A3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:rsidR="00CA7E87" w:rsidRDefault="00CA7E87" w:rsidP="005050A3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observed that few cu</w:t>
      </w:r>
      <w:r w:rsidR="00AF313C">
        <w:rPr>
          <w:rFonts w:asciiTheme="majorHAnsi" w:hAnsiTheme="majorHAnsi"/>
          <w:sz w:val="24"/>
          <w:szCs w:val="24"/>
        </w:rPr>
        <w:t>stomers are booking at a very lo</w:t>
      </w:r>
      <w:r>
        <w:rPr>
          <w:rFonts w:asciiTheme="majorHAnsi" w:hAnsiTheme="majorHAnsi"/>
          <w:sz w:val="24"/>
          <w:szCs w:val="24"/>
        </w:rPr>
        <w:t xml:space="preserve">w percentage of allocated quantity and few are booking at a considerably high </w:t>
      </w:r>
      <w:r w:rsidR="00AF313C">
        <w:rPr>
          <w:rFonts w:asciiTheme="majorHAnsi" w:hAnsiTheme="majorHAnsi"/>
          <w:sz w:val="24"/>
          <w:szCs w:val="24"/>
        </w:rPr>
        <w:t xml:space="preserve">percentage of their allocated quantity. </w:t>
      </w:r>
      <w:proofErr w:type="spellStart"/>
      <w:r w:rsidR="00AF313C">
        <w:rPr>
          <w:rFonts w:asciiTheme="majorHAnsi" w:hAnsiTheme="majorHAnsi"/>
          <w:sz w:val="24"/>
          <w:szCs w:val="24"/>
        </w:rPr>
        <w:t>W</w:t>
      </w:r>
      <w:r>
        <w:rPr>
          <w:rFonts w:asciiTheme="majorHAnsi" w:hAnsiTheme="majorHAnsi"/>
          <w:sz w:val="24"/>
          <w:szCs w:val="24"/>
        </w:rPr>
        <w:t xml:space="preserve">here </w:t>
      </w:r>
      <w:r w:rsidR="00AF313C">
        <w:rPr>
          <w:rFonts w:asciiTheme="majorHAnsi" w:hAnsiTheme="majorHAnsi"/>
          <w:sz w:val="24"/>
          <w:szCs w:val="24"/>
        </w:rPr>
        <w:t>as</w:t>
      </w:r>
      <w:proofErr w:type="spellEnd"/>
      <w:r w:rsidR="00AF313C">
        <w:rPr>
          <w:rFonts w:asciiTheme="majorHAnsi" w:hAnsiTheme="majorHAnsi"/>
          <w:sz w:val="24"/>
          <w:szCs w:val="24"/>
        </w:rPr>
        <w:t xml:space="preserve"> the customers having higher percentage</w:t>
      </w:r>
      <w:r>
        <w:rPr>
          <w:rFonts w:asciiTheme="majorHAnsi" w:hAnsiTheme="majorHAnsi"/>
          <w:sz w:val="24"/>
          <w:szCs w:val="24"/>
        </w:rPr>
        <w:t xml:space="preserve"> of booking use to have appetite to book more due to lack of transparent system they can’t be </w:t>
      </w:r>
      <w:proofErr w:type="spellStart"/>
      <w:r w:rsidR="00AF313C">
        <w:rPr>
          <w:rFonts w:asciiTheme="majorHAnsi" w:hAnsiTheme="majorHAnsi"/>
          <w:sz w:val="24"/>
          <w:szCs w:val="24"/>
        </w:rPr>
        <w:t>incentivised</w:t>
      </w:r>
      <w:proofErr w:type="spellEnd"/>
      <w:r>
        <w:rPr>
          <w:rFonts w:asciiTheme="majorHAnsi" w:hAnsiTheme="majorHAnsi"/>
          <w:sz w:val="24"/>
          <w:szCs w:val="24"/>
        </w:rPr>
        <w:t xml:space="preserve">. At the same time there is no system to penalize </w:t>
      </w:r>
      <w:r w:rsidR="00AF313C">
        <w:rPr>
          <w:rFonts w:asciiTheme="majorHAnsi" w:hAnsiTheme="majorHAnsi"/>
          <w:sz w:val="24"/>
          <w:szCs w:val="24"/>
        </w:rPr>
        <w:t>the customers who are booking lo</w:t>
      </w:r>
      <w:r>
        <w:rPr>
          <w:rFonts w:asciiTheme="majorHAnsi" w:hAnsiTheme="majorHAnsi"/>
          <w:sz w:val="24"/>
          <w:szCs w:val="24"/>
        </w:rPr>
        <w:t>w .</w:t>
      </w:r>
      <w:r w:rsidR="00AF313C">
        <w:rPr>
          <w:rFonts w:asciiTheme="majorHAnsi" w:hAnsiTheme="majorHAnsi"/>
          <w:sz w:val="24"/>
          <w:szCs w:val="24"/>
        </w:rPr>
        <w:t>H</w:t>
      </w:r>
      <w:r w:rsidR="00B77677">
        <w:rPr>
          <w:rFonts w:asciiTheme="majorHAnsi" w:hAnsiTheme="majorHAnsi"/>
          <w:sz w:val="24"/>
          <w:szCs w:val="24"/>
        </w:rPr>
        <w:t>ence, reallocate</w:t>
      </w:r>
      <w:r>
        <w:rPr>
          <w:rFonts w:asciiTheme="majorHAnsi" w:hAnsiTheme="majorHAnsi"/>
          <w:sz w:val="24"/>
          <w:szCs w:val="24"/>
        </w:rPr>
        <w:t xml:space="preserve"> based on performance this system is being introduced.</w:t>
      </w:r>
    </w:p>
    <w:p w:rsidR="00CA7E87" w:rsidRPr="00CA7E87" w:rsidRDefault="00CA7E87" w:rsidP="005050A3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:rsidR="00FD0C99" w:rsidRPr="00612648" w:rsidRDefault="00AF313C" w:rsidP="005050A3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Hence, </w:t>
      </w:r>
      <w:r w:rsidR="00FD0C99" w:rsidRPr="00612648">
        <w:rPr>
          <w:rFonts w:asciiTheme="majorHAnsi" w:hAnsiTheme="majorHAnsi"/>
          <w:sz w:val="24"/>
          <w:szCs w:val="24"/>
        </w:rPr>
        <w:t>Re-allocation modality for High Grade Bauxite is being introduced based on the individual booking performance as described below:</w:t>
      </w:r>
    </w:p>
    <w:p w:rsidR="00AC63E1" w:rsidRDefault="00AC63E1" w:rsidP="005050A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C63E1" w:rsidRDefault="00DC5DF6" w:rsidP="005050A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D0C99">
        <w:rPr>
          <w:rFonts w:asciiTheme="majorHAnsi" w:hAnsiTheme="majorHAnsi"/>
          <w:sz w:val="24"/>
          <w:szCs w:val="24"/>
        </w:rPr>
        <w:t xml:space="preserve">The </w:t>
      </w:r>
      <w:r w:rsidR="005444D7">
        <w:rPr>
          <w:rFonts w:asciiTheme="majorHAnsi" w:hAnsiTheme="majorHAnsi"/>
          <w:sz w:val="24"/>
          <w:szCs w:val="24"/>
        </w:rPr>
        <w:t>grade</w:t>
      </w:r>
      <w:r w:rsidR="005444D7" w:rsidRPr="00FD0C99">
        <w:rPr>
          <w:rFonts w:asciiTheme="majorHAnsi" w:hAnsiTheme="majorHAnsi"/>
          <w:sz w:val="24"/>
          <w:szCs w:val="24"/>
        </w:rPr>
        <w:t xml:space="preserve"> wise</w:t>
      </w:r>
      <w:r w:rsidRPr="00FD0C99">
        <w:rPr>
          <w:rFonts w:asciiTheme="majorHAnsi" w:hAnsiTheme="majorHAnsi"/>
          <w:sz w:val="24"/>
          <w:szCs w:val="24"/>
        </w:rPr>
        <w:t xml:space="preserve"> booking performance against allocation for each customer shall be</w:t>
      </w:r>
      <w:r w:rsidR="00FD0C99">
        <w:rPr>
          <w:rFonts w:asciiTheme="majorHAnsi" w:hAnsiTheme="majorHAnsi"/>
          <w:sz w:val="24"/>
          <w:szCs w:val="24"/>
        </w:rPr>
        <w:t xml:space="preserve"> </w:t>
      </w:r>
      <w:r w:rsidRPr="00FD0C99">
        <w:rPr>
          <w:rFonts w:asciiTheme="majorHAnsi" w:hAnsiTheme="majorHAnsi"/>
          <w:sz w:val="24"/>
          <w:szCs w:val="24"/>
        </w:rPr>
        <w:t xml:space="preserve">measured and same shall be considered for deduction/addition of quantity by </w:t>
      </w:r>
      <w:r w:rsidR="0029074B" w:rsidRPr="00FD0C99">
        <w:rPr>
          <w:rFonts w:asciiTheme="majorHAnsi" w:hAnsiTheme="majorHAnsi"/>
          <w:sz w:val="24"/>
          <w:szCs w:val="24"/>
        </w:rPr>
        <w:t>reallocation modality</w:t>
      </w:r>
      <w:r w:rsidR="00AC63E1">
        <w:rPr>
          <w:rFonts w:asciiTheme="majorHAnsi" w:hAnsiTheme="majorHAnsi"/>
          <w:sz w:val="24"/>
          <w:szCs w:val="24"/>
        </w:rPr>
        <w:t xml:space="preserve">. The </w:t>
      </w:r>
      <w:r w:rsidR="0022242A">
        <w:rPr>
          <w:rFonts w:asciiTheme="majorHAnsi" w:hAnsiTheme="majorHAnsi"/>
          <w:sz w:val="24"/>
          <w:szCs w:val="24"/>
        </w:rPr>
        <w:t xml:space="preserve">cut-off </w:t>
      </w:r>
      <w:r w:rsidR="00AC63E1">
        <w:rPr>
          <w:rFonts w:asciiTheme="majorHAnsi" w:hAnsiTheme="majorHAnsi"/>
          <w:sz w:val="24"/>
          <w:szCs w:val="24"/>
        </w:rPr>
        <w:t>for re-allocation shall be 20</w:t>
      </w:r>
      <w:r w:rsidR="00AC63E1" w:rsidRPr="00AC63E1">
        <w:rPr>
          <w:rFonts w:asciiTheme="majorHAnsi" w:hAnsiTheme="majorHAnsi"/>
          <w:sz w:val="24"/>
          <w:szCs w:val="24"/>
          <w:vertAlign w:val="superscript"/>
        </w:rPr>
        <w:t>th</w:t>
      </w:r>
      <w:r w:rsidR="00AC63E1">
        <w:rPr>
          <w:rFonts w:asciiTheme="majorHAnsi" w:hAnsiTheme="majorHAnsi"/>
          <w:sz w:val="24"/>
          <w:szCs w:val="24"/>
        </w:rPr>
        <w:t xml:space="preserve"> of </w:t>
      </w:r>
      <w:r w:rsidR="0029074B" w:rsidRPr="0029074B">
        <w:rPr>
          <w:rFonts w:asciiTheme="majorHAnsi" w:hAnsiTheme="majorHAnsi"/>
          <w:sz w:val="24"/>
          <w:szCs w:val="24"/>
        </w:rPr>
        <w:t>every month and re-allocation</w:t>
      </w:r>
      <w:r w:rsidR="00AC63E1">
        <w:rPr>
          <w:rFonts w:asciiTheme="majorHAnsi" w:hAnsiTheme="majorHAnsi"/>
          <w:sz w:val="24"/>
          <w:szCs w:val="24"/>
        </w:rPr>
        <w:t xml:space="preserve"> </w:t>
      </w:r>
      <w:r w:rsidR="0029074B" w:rsidRPr="0029074B">
        <w:rPr>
          <w:rFonts w:asciiTheme="majorHAnsi" w:hAnsiTheme="majorHAnsi"/>
          <w:sz w:val="24"/>
          <w:szCs w:val="24"/>
        </w:rPr>
        <w:t>shall be given on 21st of every month.</w:t>
      </w:r>
      <w:r w:rsidR="00AC63E1" w:rsidRPr="00AC63E1">
        <w:rPr>
          <w:rFonts w:asciiTheme="majorHAnsi" w:hAnsiTheme="majorHAnsi"/>
          <w:sz w:val="24"/>
          <w:szCs w:val="24"/>
        </w:rPr>
        <w:t xml:space="preserve"> </w:t>
      </w:r>
      <w:r w:rsidR="00AC63E1" w:rsidRPr="00FD0C99">
        <w:rPr>
          <w:rFonts w:asciiTheme="majorHAnsi" w:hAnsiTheme="majorHAnsi"/>
          <w:sz w:val="24"/>
          <w:szCs w:val="24"/>
        </w:rPr>
        <w:t>The reallocation shall be limited to running</w:t>
      </w:r>
      <w:r w:rsidR="00AC63E1">
        <w:rPr>
          <w:rFonts w:asciiTheme="majorHAnsi" w:hAnsiTheme="majorHAnsi"/>
          <w:sz w:val="24"/>
          <w:szCs w:val="24"/>
        </w:rPr>
        <w:t xml:space="preserve"> </w:t>
      </w:r>
      <w:r w:rsidR="00AC63E1" w:rsidRPr="00FD0C99">
        <w:rPr>
          <w:rFonts w:asciiTheme="majorHAnsi" w:hAnsiTheme="majorHAnsi"/>
          <w:sz w:val="24"/>
          <w:szCs w:val="24"/>
        </w:rPr>
        <w:t>allocation cycle/month only.</w:t>
      </w:r>
    </w:p>
    <w:p w:rsidR="00AC63E1" w:rsidRDefault="00AC63E1" w:rsidP="00AC63E1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5DF6" w:rsidRPr="00FD0C99" w:rsidRDefault="00DC5DF6" w:rsidP="00DC5DF6">
      <w:pPr>
        <w:rPr>
          <w:rFonts w:asciiTheme="majorHAnsi" w:hAnsiTheme="majorHAnsi"/>
          <w:b/>
          <w:bCs/>
          <w:sz w:val="24"/>
          <w:szCs w:val="24"/>
        </w:rPr>
      </w:pPr>
      <w:r w:rsidRPr="00FD0C99">
        <w:rPr>
          <w:rFonts w:asciiTheme="majorHAnsi" w:hAnsiTheme="majorHAnsi"/>
          <w:sz w:val="24"/>
          <w:szCs w:val="24"/>
        </w:rPr>
        <w:t>The following cr</w:t>
      </w:r>
      <w:r w:rsidR="00D54843">
        <w:rPr>
          <w:rFonts w:asciiTheme="majorHAnsi" w:hAnsiTheme="majorHAnsi"/>
          <w:sz w:val="24"/>
          <w:szCs w:val="24"/>
        </w:rPr>
        <w:t>iteria shall be considered for R</w:t>
      </w:r>
      <w:r w:rsidRPr="00FD0C99">
        <w:rPr>
          <w:rFonts w:asciiTheme="majorHAnsi" w:hAnsiTheme="majorHAnsi"/>
          <w:sz w:val="24"/>
          <w:szCs w:val="24"/>
        </w:rPr>
        <w:t>e-</w:t>
      </w:r>
      <w:proofErr w:type="gramStart"/>
      <w:r w:rsidRPr="00FD0C99">
        <w:rPr>
          <w:rFonts w:asciiTheme="majorHAnsi" w:hAnsiTheme="majorHAnsi"/>
          <w:sz w:val="24"/>
          <w:szCs w:val="24"/>
        </w:rPr>
        <w:t>allocation :</w:t>
      </w:r>
      <w:proofErr w:type="gramEnd"/>
    </w:p>
    <w:tbl>
      <w:tblPr>
        <w:tblStyle w:val="TableGrid"/>
        <w:tblW w:w="0" w:type="auto"/>
        <w:tblLook w:val="04A0"/>
      </w:tblPr>
      <w:tblGrid>
        <w:gridCol w:w="720"/>
        <w:gridCol w:w="2577"/>
        <w:gridCol w:w="3190"/>
        <w:gridCol w:w="3089"/>
      </w:tblGrid>
      <w:tr w:rsidR="006C3EA6" w:rsidRPr="00FD0C99" w:rsidTr="009519BC">
        <w:trPr>
          <w:trHeight w:val="1096"/>
        </w:trPr>
        <w:tc>
          <w:tcPr>
            <w:tcW w:w="720" w:type="dxa"/>
          </w:tcPr>
          <w:p w:rsidR="006C3EA6" w:rsidRDefault="0054490C" w:rsidP="00DC5DF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Case</w:t>
            </w:r>
          </w:p>
        </w:tc>
        <w:tc>
          <w:tcPr>
            <w:tcW w:w="2577" w:type="dxa"/>
          </w:tcPr>
          <w:p w:rsidR="006C3EA6" w:rsidRDefault="00B77677" w:rsidP="00DC5DF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Grade wise</w:t>
            </w:r>
            <w:r w:rsidR="006C3EA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6C3EA6" w:rsidRPr="00FD0C99">
              <w:rPr>
                <w:rFonts w:asciiTheme="majorHAnsi" w:hAnsiTheme="majorHAnsi"/>
                <w:b/>
                <w:bCs/>
                <w:sz w:val="24"/>
                <w:szCs w:val="24"/>
              </w:rPr>
              <w:t>Booking  Performance %</w:t>
            </w:r>
          </w:p>
          <w:p w:rsidR="006C3EA6" w:rsidRPr="00FD0C99" w:rsidRDefault="006C3EA6" w:rsidP="00DC5DF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(Booking/Allocation)</w:t>
            </w:r>
          </w:p>
        </w:tc>
        <w:tc>
          <w:tcPr>
            <w:tcW w:w="3190" w:type="dxa"/>
          </w:tcPr>
          <w:p w:rsidR="006C3EA6" w:rsidRPr="00FD0C99" w:rsidRDefault="006C3EA6" w:rsidP="00DC5DF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D0C99">
              <w:rPr>
                <w:rFonts w:asciiTheme="majorHAnsi" w:hAnsiTheme="majorHAnsi"/>
                <w:b/>
                <w:bCs/>
                <w:sz w:val="24"/>
                <w:szCs w:val="24"/>
              </w:rPr>
              <w:t>Deduction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from particular grade allocation</w:t>
            </w:r>
          </w:p>
        </w:tc>
        <w:tc>
          <w:tcPr>
            <w:tcW w:w="3089" w:type="dxa"/>
          </w:tcPr>
          <w:p w:rsidR="006C3EA6" w:rsidRPr="00FD0C99" w:rsidRDefault="006C3EA6" w:rsidP="00DC5DF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D0C99">
              <w:rPr>
                <w:rFonts w:asciiTheme="majorHAnsi" w:hAnsiTheme="majorHAnsi"/>
                <w:b/>
                <w:bCs/>
                <w:sz w:val="24"/>
                <w:szCs w:val="24"/>
              </w:rPr>
              <w:t>Addition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in particular grade allocation</w:t>
            </w:r>
          </w:p>
        </w:tc>
      </w:tr>
      <w:tr w:rsidR="006C3EA6" w:rsidRPr="00FD0C99" w:rsidTr="009519BC">
        <w:trPr>
          <w:trHeight w:val="710"/>
        </w:trPr>
        <w:tc>
          <w:tcPr>
            <w:tcW w:w="720" w:type="dxa"/>
          </w:tcPr>
          <w:p w:rsidR="006C3EA6" w:rsidRPr="00FD0C99" w:rsidRDefault="0054490C" w:rsidP="00DC5D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:rsidR="006C3EA6" w:rsidRPr="00FD0C99" w:rsidRDefault="006C3EA6" w:rsidP="00DC5DF6">
            <w:pPr>
              <w:rPr>
                <w:rFonts w:asciiTheme="majorHAnsi" w:hAnsiTheme="majorHAnsi"/>
                <w:sz w:val="24"/>
                <w:szCs w:val="24"/>
              </w:rPr>
            </w:pPr>
            <w:r w:rsidRPr="00FD0C99">
              <w:rPr>
                <w:rFonts w:asciiTheme="majorHAnsi" w:hAnsiTheme="majorHAnsi"/>
                <w:sz w:val="24"/>
                <w:szCs w:val="24"/>
              </w:rPr>
              <w:t>0% -30%</w:t>
            </w:r>
          </w:p>
        </w:tc>
        <w:tc>
          <w:tcPr>
            <w:tcW w:w="3190" w:type="dxa"/>
          </w:tcPr>
          <w:p w:rsidR="006C3EA6" w:rsidRPr="00FD0C99" w:rsidRDefault="006C3EA6" w:rsidP="00DC5DF6">
            <w:pPr>
              <w:rPr>
                <w:rFonts w:asciiTheme="majorHAnsi" w:hAnsiTheme="majorHAnsi"/>
                <w:sz w:val="24"/>
                <w:szCs w:val="24"/>
              </w:rPr>
            </w:pPr>
            <w:r w:rsidRPr="00FD0C99">
              <w:rPr>
                <w:rFonts w:asciiTheme="majorHAnsi" w:hAnsiTheme="majorHAnsi"/>
                <w:sz w:val="24"/>
                <w:szCs w:val="24"/>
              </w:rPr>
              <w:t>Allotted quantity –Booked quantity</w:t>
            </w:r>
          </w:p>
        </w:tc>
        <w:tc>
          <w:tcPr>
            <w:tcW w:w="3089" w:type="dxa"/>
          </w:tcPr>
          <w:p w:rsidR="006C3EA6" w:rsidRPr="00FD0C99" w:rsidRDefault="006C3EA6" w:rsidP="00DC5DF6">
            <w:pPr>
              <w:rPr>
                <w:rFonts w:asciiTheme="majorHAnsi" w:hAnsiTheme="majorHAnsi"/>
                <w:sz w:val="24"/>
                <w:szCs w:val="24"/>
              </w:rPr>
            </w:pPr>
            <w:r w:rsidRPr="00FD0C99">
              <w:rPr>
                <w:rFonts w:asciiTheme="majorHAnsi" w:hAnsiTheme="majorHAnsi"/>
                <w:sz w:val="24"/>
                <w:szCs w:val="24"/>
              </w:rPr>
              <w:t>Nil</w:t>
            </w:r>
          </w:p>
        </w:tc>
      </w:tr>
      <w:tr w:rsidR="006C3EA6" w:rsidRPr="00FD0C99" w:rsidTr="009519BC">
        <w:trPr>
          <w:trHeight w:val="344"/>
        </w:trPr>
        <w:tc>
          <w:tcPr>
            <w:tcW w:w="720" w:type="dxa"/>
          </w:tcPr>
          <w:p w:rsidR="006C3EA6" w:rsidRPr="00FD0C99" w:rsidRDefault="0054490C" w:rsidP="00DC5D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77" w:type="dxa"/>
          </w:tcPr>
          <w:p w:rsidR="006C3EA6" w:rsidRPr="00FD0C99" w:rsidRDefault="006C3EA6" w:rsidP="00DC5DF6">
            <w:pPr>
              <w:rPr>
                <w:rFonts w:asciiTheme="majorHAnsi" w:hAnsiTheme="majorHAnsi"/>
                <w:sz w:val="24"/>
                <w:szCs w:val="24"/>
              </w:rPr>
            </w:pPr>
            <w:r w:rsidRPr="00FD0C99">
              <w:rPr>
                <w:rFonts w:asciiTheme="majorHAnsi" w:hAnsiTheme="majorHAnsi"/>
                <w:sz w:val="24"/>
                <w:szCs w:val="24"/>
              </w:rPr>
              <w:t>30%  -70%</w:t>
            </w:r>
          </w:p>
        </w:tc>
        <w:tc>
          <w:tcPr>
            <w:tcW w:w="3190" w:type="dxa"/>
          </w:tcPr>
          <w:p w:rsidR="006C3EA6" w:rsidRPr="00FD0C99" w:rsidRDefault="006C3EA6" w:rsidP="00DC5DF6">
            <w:pPr>
              <w:rPr>
                <w:rFonts w:asciiTheme="majorHAnsi" w:hAnsiTheme="majorHAnsi"/>
                <w:sz w:val="24"/>
                <w:szCs w:val="24"/>
              </w:rPr>
            </w:pPr>
            <w:r w:rsidRPr="00FD0C99">
              <w:rPr>
                <w:rFonts w:asciiTheme="majorHAnsi" w:hAnsiTheme="majorHAnsi"/>
                <w:sz w:val="24"/>
                <w:szCs w:val="24"/>
              </w:rPr>
              <w:t>Nil</w:t>
            </w:r>
          </w:p>
        </w:tc>
        <w:tc>
          <w:tcPr>
            <w:tcW w:w="3089" w:type="dxa"/>
          </w:tcPr>
          <w:p w:rsidR="006C3EA6" w:rsidRPr="00FD0C99" w:rsidRDefault="006C3EA6" w:rsidP="00DC5DF6">
            <w:pPr>
              <w:rPr>
                <w:rFonts w:asciiTheme="majorHAnsi" w:hAnsiTheme="majorHAnsi"/>
                <w:sz w:val="24"/>
                <w:szCs w:val="24"/>
              </w:rPr>
            </w:pPr>
            <w:r w:rsidRPr="00FD0C99">
              <w:rPr>
                <w:rFonts w:asciiTheme="majorHAnsi" w:hAnsiTheme="majorHAnsi"/>
                <w:sz w:val="24"/>
                <w:szCs w:val="24"/>
              </w:rPr>
              <w:t>Nil</w:t>
            </w:r>
          </w:p>
        </w:tc>
      </w:tr>
      <w:tr w:rsidR="006C3EA6" w:rsidRPr="00FD0C99" w:rsidTr="009519BC">
        <w:trPr>
          <w:trHeight w:val="366"/>
        </w:trPr>
        <w:tc>
          <w:tcPr>
            <w:tcW w:w="720" w:type="dxa"/>
          </w:tcPr>
          <w:p w:rsidR="006C3EA6" w:rsidRPr="00FD0C99" w:rsidRDefault="0054490C" w:rsidP="000A3B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577" w:type="dxa"/>
          </w:tcPr>
          <w:p w:rsidR="006C3EA6" w:rsidRPr="00FD0C99" w:rsidRDefault="006C3EA6" w:rsidP="000A3B04">
            <w:pPr>
              <w:rPr>
                <w:rFonts w:asciiTheme="majorHAnsi" w:hAnsiTheme="majorHAnsi"/>
                <w:sz w:val="24"/>
                <w:szCs w:val="24"/>
              </w:rPr>
            </w:pPr>
            <w:r w:rsidRPr="00FD0C99">
              <w:rPr>
                <w:rFonts w:asciiTheme="majorHAnsi" w:hAnsiTheme="majorHAnsi"/>
                <w:sz w:val="24"/>
                <w:szCs w:val="24"/>
              </w:rPr>
              <w:t xml:space="preserve">&gt;70%  - 100 %  </w:t>
            </w:r>
          </w:p>
        </w:tc>
        <w:tc>
          <w:tcPr>
            <w:tcW w:w="3190" w:type="dxa"/>
          </w:tcPr>
          <w:p w:rsidR="006C3EA6" w:rsidRPr="00FD0C99" w:rsidRDefault="006C3EA6" w:rsidP="00DC5D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Nil</w:t>
            </w:r>
          </w:p>
        </w:tc>
        <w:tc>
          <w:tcPr>
            <w:tcW w:w="3089" w:type="dxa"/>
          </w:tcPr>
          <w:p w:rsidR="006C3EA6" w:rsidRPr="00FD0C99" w:rsidRDefault="00612648" w:rsidP="00DC5D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 –rated of the total quantity generated from case-1</w:t>
            </w:r>
          </w:p>
        </w:tc>
      </w:tr>
    </w:tbl>
    <w:p w:rsidR="007C7E34" w:rsidRDefault="00FD0C99" w:rsidP="00FD0C9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iCs/>
        </w:rPr>
      </w:pPr>
      <w:r w:rsidRPr="00FD0C99">
        <w:rPr>
          <w:rFonts w:asciiTheme="majorHAnsi" w:hAnsiTheme="majorHAnsi"/>
          <w:i/>
          <w:iCs/>
        </w:rPr>
        <w:t>*P</w:t>
      </w:r>
      <w:r w:rsidR="00E6683D" w:rsidRPr="00FD0C99">
        <w:rPr>
          <w:rFonts w:asciiTheme="majorHAnsi" w:hAnsiTheme="majorHAnsi"/>
          <w:i/>
          <w:iCs/>
        </w:rPr>
        <w:t>ro-rated quantity as per total re-allotment quantity and total re-allotment capacity</w:t>
      </w:r>
      <w:r>
        <w:rPr>
          <w:rFonts w:asciiTheme="majorHAnsi" w:hAnsiTheme="majorHAnsi"/>
          <w:i/>
          <w:iCs/>
        </w:rPr>
        <w:t xml:space="preserve"> </w:t>
      </w:r>
      <w:r w:rsidR="00E6683D" w:rsidRPr="00FD0C99">
        <w:rPr>
          <w:rFonts w:asciiTheme="majorHAnsi" w:hAnsiTheme="majorHAnsi"/>
          <w:i/>
          <w:iCs/>
        </w:rPr>
        <w:t>subject to maximum 100% allocation of their consumption capacity</w:t>
      </w:r>
    </w:p>
    <w:p w:rsidR="00FD0C99" w:rsidRPr="00FD0C99" w:rsidRDefault="00FD0C99" w:rsidP="00FD0C9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iCs/>
        </w:rPr>
      </w:pPr>
    </w:p>
    <w:p w:rsidR="00FD0C99" w:rsidRDefault="00FD0C99" w:rsidP="00E6683D">
      <w:pPr>
        <w:pStyle w:val="ListParagraph"/>
        <w:rPr>
          <w:rFonts w:asciiTheme="majorHAnsi" w:hAnsiTheme="majorHAnsi"/>
          <w:sz w:val="24"/>
          <w:szCs w:val="24"/>
        </w:rPr>
      </w:pPr>
    </w:p>
    <w:p w:rsidR="00FD0C99" w:rsidRDefault="00FD0C99" w:rsidP="00DD4D15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 customers are </w:t>
      </w:r>
      <w:r w:rsidR="0029074B">
        <w:rPr>
          <w:rFonts w:asciiTheme="majorHAnsi" w:hAnsiTheme="majorHAnsi"/>
          <w:sz w:val="24"/>
          <w:szCs w:val="24"/>
        </w:rPr>
        <w:t>requested</w:t>
      </w:r>
      <w:r>
        <w:rPr>
          <w:rFonts w:asciiTheme="majorHAnsi" w:hAnsiTheme="majorHAnsi"/>
          <w:sz w:val="24"/>
          <w:szCs w:val="24"/>
        </w:rPr>
        <w:t xml:space="preserve"> to note the above mentioned modality effective from 20.06.2023.</w:t>
      </w:r>
    </w:p>
    <w:p w:rsidR="00FD0C99" w:rsidRDefault="00FD0C99" w:rsidP="00DD4D15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:rsidR="00FD0C99" w:rsidRDefault="00FD0C99" w:rsidP="00FD0C99">
      <w:pPr>
        <w:pStyle w:val="ListParagraph"/>
        <w:jc w:val="right"/>
        <w:rPr>
          <w:rFonts w:asciiTheme="majorHAnsi" w:hAnsiTheme="majorHAnsi"/>
          <w:b/>
          <w:bCs/>
          <w:sz w:val="24"/>
          <w:szCs w:val="24"/>
        </w:rPr>
      </w:pPr>
    </w:p>
    <w:p w:rsidR="0066688F" w:rsidRPr="0066688F" w:rsidRDefault="00FD0C99" w:rsidP="00AF2A49">
      <w:pPr>
        <w:pStyle w:val="ListParagraph"/>
        <w:jc w:val="right"/>
        <w:rPr>
          <w:rFonts w:asciiTheme="majorHAnsi" w:hAnsiTheme="majorHAnsi"/>
          <w:sz w:val="24"/>
          <w:szCs w:val="24"/>
        </w:rPr>
      </w:pPr>
      <w:r w:rsidRPr="00FD0C99">
        <w:rPr>
          <w:rFonts w:asciiTheme="majorHAnsi" w:hAnsiTheme="majorHAnsi"/>
          <w:b/>
          <w:bCs/>
          <w:sz w:val="24"/>
          <w:szCs w:val="24"/>
        </w:rPr>
        <w:t>Marketing &amp; Sales Dept, GMDC Ltd</w:t>
      </w:r>
    </w:p>
    <w:sectPr w:rsidR="0066688F" w:rsidRPr="0066688F" w:rsidSect="00FD0C99">
      <w:pgSz w:w="12240" w:h="15840"/>
      <w:pgMar w:top="993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56E"/>
    <w:multiLevelType w:val="hybridMultilevel"/>
    <w:tmpl w:val="24F2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8492F"/>
    <w:multiLevelType w:val="hybridMultilevel"/>
    <w:tmpl w:val="A9D0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541D1"/>
    <w:multiLevelType w:val="hybridMultilevel"/>
    <w:tmpl w:val="406A811A"/>
    <w:lvl w:ilvl="0" w:tplc="C10EC73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40590"/>
    <w:multiLevelType w:val="hybridMultilevel"/>
    <w:tmpl w:val="119C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63CF4"/>
    <w:multiLevelType w:val="hybridMultilevel"/>
    <w:tmpl w:val="35A2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A6BBA"/>
    <w:multiLevelType w:val="hybridMultilevel"/>
    <w:tmpl w:val="70D6585A"/>
    <w:lvl w:ilvl="0" w:tplc="6EF62E5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5DF6"/>
    <w:rsid w:val="000836EC"/>
    <w:rsid w:val="000A3B04"/>
    <w:rsid w:val="000E35E6"/>
    <w:rsid w:val="001C535B"/>
    <w:rsid w:val="0022242A"/>
    <w:rsid w:val="0029074B"/>
    <w:rsid w:val="002B66AA"/>
    <w:rsid w:val="002D17CF"/>
    <w:rsid w:val="003126A1"/>
    <w:rsid w:val="00334E62"/>
    <w:rsid w:val="003751CB"/>
    <w:rsid w:val="003D138B"/>
    <w:rsid w:val="003E689D"/>
    <w:rsid w:val="00487305"/>
    <w:rsid w:val="005050A3"/>
    <w:rsid w:val="005444D7"/>
    <w:rsid w:val="0054490C"/>
    <w:rsid w:val="00612648"/>
    <w:rsid w:val="0066688F"/>
    <w:rsid w:val="006C3EA6"/>
    <w:rsid w:val="006E4CA2"/>
    <w:rsid w:val="00716AEC"/>
    <w:rsid w:val="007C7E34"/>
    <w:rsid w:val="008B1A7B"/>
    <w:rsid w:val="008D4361"/>
    <w:rsid w:val="009519BC"/>
    <w:rsid w:val="009B3BB1"/>
    <w:rsid w:val="009B5CC3"/>
    <w:rsid w:val="009E3411"/>
    <w:rsid w:val="00A67DBF"/>
    <w:rsid w:val="00AC63E1"/>
    <w:rsid w:val="00AE6022"/>
    <w:rsid w:val="00AF2A49"/>
    <w:rsid w:val="00AF313C"/>
    <w:rsid w:val="00B77677"/>
    <w:rsid w:val="00BD47BB"/>
    <w:rsid w:val="00BD6CD8"/>
    <w:rsid w:val="00CA7E87"/>
    <w:rsid w:val="00D54843"/>
    <w:rsid w:val="00DC5DF6"/>
    <w:rsid w:val="00DD4D15"/>
    <w:rsid w:val="00E6683D"/>
    <w:rsid w:val="00E83404"/>
    <w:rsid w:val="00EE106E"/>
    <w:rsid w:val="00EF559F"/>
    <w:rsid w:val="00F7700D"/>
    <w:rsid w:val="00FD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3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8th Floor Conf Room</dc:creator>
  <cp:lastModifiedBy>8th Floor Conf Room</cp:lastModifiedBy>
  <cp:revision>36</cp:revision>
  <cp:lastPrinted>2023-06-19T12:05:00Z</cp:lastPrinted>
  <dcterms:created xsi:type="dcterms:W3CDTF">2023-06-19T06:26:00Z</dcterms:created>
  <dcterms:modified xsi:type="dcterms:W3CDTF">2023-06-19T12:29:00Z</dcterms:modified>
</cp:coreProperties>
</file>